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-457200</wp:posOffset>
            </wp:positionH>
            <wp:positionV relativeFrom="paragraph">
              <wp:posOffset>-146685</wp:posOffset>
            </wp:positionV>
            <wp:extent cx="1336675" cy="16960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23" t="-678" r="-923" b="-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sr-CS"/>
        </w:rPr>
        <w:t>Р</w:t>
      </w:r>
      <w:r>
        <w:rPr>
          <w:rFonts w:ascii="Times New Roman" w:hAnsi="Times New Roman"/>
          <w:sz w:val="24"/>
          <w:szCs w:val="24"/>
          <w:lang w:val="sr-CS"/>
        </w:rPr>
        <w:t>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Општина Ћићевац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Одсек за </w:t>
      </w:r>
      <w:r>
        <w:rPr>
          <w:rFonts w:ascii="Times New Roman" w:hAnsi="Times New Roman"/>
          <w:sz w:val="24"/>
          <w:szCs w:val="24"/>
          <w:lang w:val="sr-RS"/>
        </w:rPr>
        <w:t>урбанизам, грађевинарство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RS"/>
        </w:rPr>
        <w:t>и инспекцијске</w:t>
      </w:r>
      <w:r>
        <w:rPr>
          <w:rFonts w:ascii="Times New Roman" w:hAnsi="Times New Roman"/>
          <w:sz w:val="24"/>
          <w:szCs w:val="24"/>
          <w:lang w:val="sr-CS"/>
        </w:rPr>
        <w:t xml:space="preserve"> послове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Број: </w:t>
      </w:r>
      <w:r>
        <w:rPr>
          <w:rFonts w:ascii="Times New Roman" w:hAnsi="Times New Roman"/>
          <w:sz w:val="24"/>
          <w:szCs w:val="24"/>
          <w:lang w:val="sr-RS"/>
        </w:rPr>
        <w:t>501</w:t>
      </w:r>
      <w:r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RS"/>
        </w:rPr>
        <w:t>5/21-03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CS"/>
        </w:rPr>
        <w:t xml:space="preserve">Дана: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25.02.2021</w:t>
      </w:r>
      <w:r>
        <w:rPr>
          <w:rFonts w:ascii="Times New Roman" w:hAnsi="Times New Roman"/>
          <w:b w:val="false"/>
          <w:bCs w:val="false"/>
          <w:sz w:val="24"/>
          <w:szCs w:val="24"/>
          <w:lang w:val="sr-CS"/>
        </w:rPr>
        <w:t xml:space="preserve">.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године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ИЗВЕШТАЈ ЗА 2020. ГОДИНУ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ИНСПЕКТОРА ЗА ЗАШТИТУ ЖИВОТНЕ СРЕДИНЕ</w:t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за заштиту животне средине врши контролу и обавља онај део поверених послова из области заштите животне средине који се односи на нспекцијски надзор и контролу по свим важећим Законима и прописима заштите животне средине који су у примени, што подразумева и надлежности по донетим одлукама општине Ћићевац.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за заштиту животне средине врши надзор у складу са: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Законом о заштити животне средине </w:t>
      </w:r>
      <w:r>
        <w:rPr>
          <w:rFonts w:cs="Times New Roman" w:ascii="Times New Roman" w:hAnsi="Times New Roman"/>
          <w:sz w:val="24"/>
          <w:szCs w:val="24"/>
        </w:rPr>
        <w:t>(„Сл</w:t>
      </w:r>
      <w:r>
        <w:rPr>
          <w:rFonts w:cs="Times New Roman" w:ascii="Times New Roman" w:hAnsi="Times New Roman"/>
          <w:sz w:val="24"/>
          <w:szCs w:val="24"/>
          <w:lang w:val="sr-RS"/>
        </w:rPr>
        <w:t>ужбени</w:t>
      </w:r>
      <w:r>
        <w:rPr>
          <w:rFonts w:cs="Times New Roman" w:ascii="Times New Roman" w:hAnsi="Times New Roman"/>
          <w:sz w:val="24"/>
          <w:szCs w:val="24"/>
        </w:rPr>
        <w:t xml:space="preserve"> гласник РС“, бр. 135/04, 36/09-др. закон, 72/09-др. закон, 43/11-одлука УС, 14/16, 76/18 и 95/18-др. закон)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Законом о процени утицаја на животну средину (''Службени гласник РС'', број 135/2004</w:t>
      </w:r>
      <w:r>
        <w:rPr>
          <w:rFonts w:ascii="Times New Roman" w:hAnsi="Times New Roman"/>
          <w:sz w:val="24"/>
          <w:szCs w:val="24"/>
          <w:lang w:val="sr-RS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36/2009)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Законом о заштити ваздуха (''Службени гласник РС'', број 36/2009 </w:t>
      </w:r>
      <w:r>
        <w:rPr>
          <w:rFonts w:ascii="Times New Roman" w:hAnsi="Times New Roman"/>
          <w:sz w:val="24"/>
          <w:szCs w:val="24"/>
          <w:lang w:val="sr-RS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10/2013)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Законом о интегрисаном спречавању и контроли загађивања животне средине (''Службени гласник РС'', број 36/2009 и 25/2015)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Законом о заштити од буке у животној средини (''Службени гласник РС'', број 36/2009 и 88/2010)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Законом о управљању отпадом (''Службени гласник РС'', број 36/2009, 88/2010, 14/2016 </w:t>
      </w:r>
      <w:r>
        <w:rPr>
          <w:rFonts w:ascii="Times New Roman" w:hAnsi="Times New Roman"/>
          <w:sz w:val="24"/>
          <w:szCs w:val="24"/>
          <w:lang w:val="sr-RS"/>
        </w:rPr>
        <w:t>и 95/2018-др. закон</w:t>
      </w:r>
      <w:r>
        <w:rPr>
          <w:rFonts w:ascii="Times New Roman" w:hAnsi="Times New Roman"/>
          <w:sz w:val="24"/>
          <w:szCs w:val="24"/>
        </w:rPr>
        <w:t xml:space="preserve">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Законом о хемикалијама (''Службени гласник РС'', број 36/2009, 88/2010, 92/2011 и 25/2015)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Законом о заштити од нејонизујућег зрачења (''Службени гласник РС'', број 36/2009) 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9. Законом о инспекцијском надзору (''Службени гласник РС'', број 36/2015, 44/2018 и 95/2018)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 xml:space="preserve"> 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инспекције): </w:t>
      </w:r>
    </w:p>
    <w:p>
      <w:pPr>
        <w:pStyle w:val="Defaul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Default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  <w:lang w:val="sr-RS"/>
        </w:rPr>
        <w:t>Није било превентивног деловања.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Обавештавање јавности, пружање стручне и саветодавне подршке надзираним субјектима са подацима о броју и облицима ових активности и кругу лица обухваћених тим активностима (превентивно деловање)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sr-RS" w:eastAsia="zh-CN" w:bidi="ar-SA"/>
        </w:rPr>
        <w:t xml:space="preserve">Обавештавање јавности вршено је на сајту општине Ћићевац: </w:t>
      </w:r>
      <w:hyperlink r:id="rId3">
        <w:r>
          <w:rPr>
            <w:rStyle w:val="InternetLink"/>
            <w:rFonts w:eastAsia="SimSun" w:cs="Times New Roman" w:ascii="Times New Roman" w:hAnsi="Times New Roman"/>
            <w:color w:val="auto"/>
            <w:sz w:val="24"/>
            <w:szCs w:val="24"/>
            <w:lang w:val="sr-RS" w:eastAsia="zh-CN" w:bidi="ar-SA"/>
          </w:rPr>
          <w:t>www.cicevac.rs</w:t>
        </w:r>
      </w:hyperlink>
      <w:r>
        <w:rPr>
          <w:rFonts w:eastAsia="SimSun" w:cs="Times New Roman" w:ascii="Times New Roman" w:hAnsi="Times New Roman"/>
          <w:color w:val="auto"/>
          <w:sz w:val="24"/>
          <w:szCs w:val="24"/>
          <w:lang w:val="sr-RS" w:eastAsia="zh-CN" w:bidi="ar-SA"/>
        </w:rPr>
        <w:t xml:space="preserve">, као и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sr-RS" w:eastAsia="zh-CN" w:bidi="ar-SA"/>
        </w:rPr>
        <w:t>постављањем обавештења на огласним таблама</w:t>
      </w:r>
      <w:r>
        <w:rPr>
          <w:rFonts w:eastAsia="Arial" w:cs="Times New Roman" w:ascii="Times New Roman" w:hAnsi="Times New Roman"/>
          <w:color w:val="auto"/>
          <w:sz w:val="24"/>
          <w:szCs w:val="24"/>
          <w:lang w:val="sr-RS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sr-RS" w:eastAsia="zh-CN" w:bidi="ar-SA"/>
        </w:rPr>
        <w:t xml:space="preserve"> којим се апелује на грађане општине Ћићевац да воде рачуна о заштити животне средине и квалитету ваздуха.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Ниво усклађености пословања и поступања надзираних субјеката са законом и другим прописом, који се мери помоћу контролних листи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r-RS"/>
        </w:rPr>
        <w:t>У</w:t>
      </w:r>
      <w:r>
        <w:rPr>
          <w:rFonts w:ascii="Times New Roman" w:hAnsi="Times New Roman"/>
          <w:color w:val="auto"/>
          <w:sz w:val="24"/>
          <w:szCs w:val="24"/>
        </w:rPr>
        <w:t xml:space="preserve"> поступку редовног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и ванредног</w:t>
      </w:r>
      <w:r>
        <w:rPr>
          <w:rFonts w:ascii="Times New Roman" w:hAnsi="Times New Roman"/>
          <w:color w:val="auto"/>
          <w:sz w:val="24"/>
          <w:szCs w:val="24"/>
        </w:rPr>
        <w:t xml:space="preserve"> инспекцијског надзора примењују се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к</w:t>
      </w:r>
      <w:r>
        <w:rPr>
          <w:rFonts w:ascii="Times New Roman" w:hAnsi="Times New Roman"/>
          <w:color w:val="auto"/>
          <w:sz w:val="24"/>
          <w:szCs w:val="24"/>
        </w:rPr>
        <w:t xml:space="preserve">онтролне листе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које</w:t>
      </w:r>
      <w:r>
        <w:rPr>
          <w:rFonts w:ascii="Times New Roman" w:hAnsi="Times New Roman"/>
          <w:color w:val="auto"/>
          <w:sz w:val="24"/>
          <w:szCs w:val="24"/>
        </w:rPr>
        <w:t xml:space="preserve"> су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доступне </w:t>
      </w:r>
      <w:r>
        <w:rPr>
          <w:rFonts w:ascii="Times New Roman" w:hAnsi="Times New Roman"/>
          <w:color w:val="auto"/>
          <w:sz w:val="24"/>
          <w:szCs w:val="24"/>
        </w:rPr>
        <w:t>на интернет страници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Министарства заштите животне средине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једном ванредном инспекцијском надзору који је извршио грађевински инспектор по основу овлашћења в. д. начелника Општинске управе општине Ћићевац нису утврђене неправилности у поступању од стране надзираног субјекта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>
      <w:pPr>
        <w:pStyle w:val="Default"/>
        <w:spacing w:lineRule="auto" w:line="27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 Број утврђених нерегистрованих субјеката и мере спроведене према њима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овом извештајном периоду није утврђен рад нерегистрованих субјеката</w:t>
      </w:r>
      <w:r>
        <w:rPr>
          <w:rFonts w:ascii="Times New Roman" w:hAnsi="Times New Roman"/>
          <w:sz w:val="24"/>
          <w:szCs w:val="24"/>
          <w:lang w:val="sr-RS"/>
        </w:rPr>
        <w:t>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6) Мере предузете ради уједначавања праксе инспекцијског надзора и њиховом дејству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Уједначавање праксе инспекцијског надзора се постиже сарадњом и разменом искустава са другим инспекцијама. 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При изради плана рада и извештаја о раду користе се инструкције републичких инспектора. </w:t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7) Остварење плана и ваљаност планирања инспекцијског надзора, нарочито у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Планом инспекцијског надзора за 2020. годину предвиђено је 26 редовних инспекцијских надзора. </w:t>
      </w:r>
      <w:r>
        <w:rPr>
          <w:rFonts w:ascii="Times New Roman" w:hAnsi="Times New Roman"/>
          <w:color w:val="auto"/>
          <w:sz w:val="24"/>
          <w:szCs w:val="24"/>
          <w:lang w:val="sr-RS"/>
        </w:rPr>
        <w:t>Није извршен ни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један</w:t>
      </w:r>
      <w:r>
        <w:rPr>
          <w:rFonts w:ascii="Times New Roman" w:hAnsi="Times New Roman"/>
          <w:color w:val="auto"/>
          <w:sz w:val="24"/>
          <w:szCs w:val="24"/>
        </w:rPr>
        <w:t xml:space="preserve"> редовн</w:t>
      </w:r>
      <w:r>
        <w:rPr>
          <w:rFonts w:ascii="Times New Roman" w:hAnsi="Times New Roman"/>
          <w:color w:val="auto"/>
          <w:sz w:val="24"/>
          <w:szCs w:val="24"/>
          <w:lang w:val="sr-RS"/>
        </w:rPr>
        <w:t>и</w:t>
      </w:r>
      <w:r>
        <w:rPr>
          <w:rFonts w:ascii="Times New Roman" w:hAnsi="Times New Roman"/>
          <w:color w:val="auto"/>
          <w:sz w:val="24"/>
          <w:szCs w:val="24"/>
        </w:rPr>
        <w:t xml:space="preserve"> инспекцијск</w:t>
      </w:r>
      <w:r>
        <w:rPr>
          <w:rFonts w:ascii="Times New Roman" w:hAnsi="Times New Roman"/>
          <w:color w:val="auto"/>
          <w:sz w:val="24"/>
          <w:szCs w:val="24"/>
          <w:lang w:val="sr-RS"/>
        </w:rPr>
        <w:t>и</w:t>
      </w:r>
      <w:r>
        <w:rPr>
          <w:rFonts w:ascii="Times New Roman" w:hAnsi="Times New Roman"/>
          <w:color w:val="auto"/>
          <w:sz w:val="24"/>
          <w:szCs w:val="24"/>
        </w:rPr>
        <w:t xml:space="preserve"> надзор.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Извршен је 1 (један) ванредни инспекцијски </w:t>
      </w:r>
      <w:r>
        <w:rPr>
          <w:rFonts w:ascii="Times New Roman" w:hAnsi="Times New Roman"/>
          <w:color w:val="auto"/>
          <w:sz w:val="24"/>
          <w:szCs w:val="24"/>
        </w:rPr>
        <w:t>надзор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од стране грађевинског инспектора</w:t>
      </w:r>
      <w:r>
        <w:rPr>
          <w:rFonts w:ascii="Times New Roman" w:hAnsi="Times New Roman"/>
          <w:color w:val="auto"/>
          <w:sz w:val="24"/>
          <w:szCs w:val="24"/>
          <w:lang w:val="sr-RS"/>
        </w:rPr>
        <w:t>,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а на основу овлашћења добијеног од в. д. начелника Општинске управе општине Ћићевац</w: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План инспекцијског надзора за 2020. годину није остварен због одсуства инспектора за заштиту животне средине који је био на породиљском одсуств</w:t>
      </w:r>
      <w:r>
        <w:rPr>
          <w:rFonts w:ascii="Times New Roman" w:hAnsi="Times New Roman"/>
          <w:color w:val="auto"/>
          <w:sz w:val="24"/>
          <w:szCs w:val="24"/>
          <w:lang w:val="sr-RS"/>
        </w:rPr>
        <w:t>у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 и одсуству због посебне неге детета.</w:t>
      </w:r>
    </w:p>
    <w:p>
      <w:pPr>
        <w:pStyle w:val="Default"/>
        <w:spacing w:lineRule="auto" w:line="27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8) Ниво координације инспекцијског надзора са инспекцијским надзорима који врше друге инспекције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Са републичким инспекторима се размењују потребне информације и остварена је добра сарадња. Са општинским инспекторима се врше и заједничке контроле, посебно са комуналним инспектором. </w:t>
      </w:r>
    </w:p>
    <w:p>
      <w:pPr>
        <w:pStyle w:val="Default"/>
        <w:spacing w:lineRule="auto" w:line="27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9) 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Инспекцијски надзор у области заштите животне средине врши 1 инспектор.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вршењу инспекцијског надзора</w:t>
      </w:r>
      <w:r>
        <w:rPr>
          <w:rFonts w:ascii="Times New Roman" w:hAnsi="Times New Roman"/>
          <w:sz w:val="24"/>
          <w:szCs w:val="24"/>
          <w:lang w:val="sr-RS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кори</w:t>
      </w:r>
      <w:r>
        <w:rPr>
          <w:rFonts w:ascii="Times New Roman" w:hAnsi="Times New Roman"/>
          <w:sz w:val="24"/>
          <w:szCs w:val="24"/>
          <w:lang w:val="sr-RS"/>
        </w:rPr>
        <w:t>сте се</w:t>
      </w:r>
      <w:r>
        <w:rPr>
          <w:rFonts w:ascii="Times New Roman" w:hAnsi="Times New Roman"/>
          <w:sz w:val="24"/>
          <w:szCs w:val="24"/>
        </w:rPr>
        <w:t xml:space="preserve"> посебна материјална средства.</w:t>
      </w:r>
      <w:r>
        <w:rPr>
          <w:rFonts w:ascii="Times New Roman" w:hAnsi="Times New Roman"/>
          <w:sz w:val="24"/>
          <w:szCs w:val="24"/>
          <w:lang w:val="sr-RS"/>
        </w:rPr>
        <w:t xml:space="preserve"> Од техничких средстава користе се</w:t>
      </w:r>
      <w:r>
        <w:rPr>
          <w:rFonts w:ascii="Times New Roman" w:hAnsi="Times New Roman"/>
          <w:sz w:val="24"/>
          <w:szCs w:val="24"/>
        </w:rPr>
        <w:t xml:space="preserve"> рачунар</w:t>
      </w:r>
      <w:r>
        <w:rPr>
          <w:rFonts w:ascii="Times New Roman" w:hAnsi="Times New Roman"/>
          <w:sz w:val="24"/>
          <w:szCs w:val="24"/>
          <w:lang w:val="sr-RS"/>
        </w:rPr>
        <w:t xml:space="preserve"> и штампач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RS"/>
        </w:rPr>
        <w:t xml:space="preserve"> Од априла месеца 2019. године Одсек за инспекцијске послове је без инспектора за заштиту животне средине због одсуства инспекторке која је</w:t>
      </w:r>
      <w:r>
        <w:rPr>
          <w:rFonts w:ascii="Times New Roman" w:hAnsi="Times New Roman"/>
          <w:sz w:val="24"/>
          <w:szCs w:val="24"/>
          <w:lang w:val="sr-RS"/>
        </w:rPr>
        <w:t xml:space="preserve"> била</w:t>
      </w:r>
      <w:r>
        <w:rPr>
          <w:rFonts w:ascii="Times New Roman" w:hAnsi="Times New Roman"/>
          <w:sz w:val="24"/>
          <w:szCs w:val="24"/>
          <w:lang w:val="sr-RS"/>
        </w:rPr>
        <w:t xml:space="preserve"> на трудничком боловању а потом на породиљском одсуству</w:t>
      </w:r>
      <w:r>
        <w:rPr>
          <w:rFonts w:ascii="Times New Roman" w:hAnsi="Times New Roman"/>
          <w:sz w:val="24"/>
          <w:szCs w:val="24"/>
          <w:lang w:val="sr-RS"/>
        </w:rPr>
        <w:t xml:space="preserve"> и одсуству због посебне неге детета</w:t>
      </w:r>
      <w:r>
        <w:rPr>
          <w:rFonts w:ascii="Times New Roman" w:hAnsi="Times New Roman"/>
          <w:sz w:val="24"/>
          <w:szCs w:val="24"/>
          <w:lang w:val="sr-RS"/>
        </w:rPr>
        <w:t>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10) Придржавање рокова прописаних за поступање инспекције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Управне мере и радње предузимане су у законским роковима.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11)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2020. години није било жалби на решење инспектора.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12) Поступање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2020. години није било писаних притужби на рад инспектора.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 w:before="0" w:after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13) Обуке и други облици усавршавања инспектора, са бројем тих обука и других облика стручног усавршавања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 w:before="0" w:after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2020. години није било обука.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14) Иницијативе за измене и допуне закона и других прописа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2020</w:t>
      </w:r>
      <w:r>
        <w:rPr>
          <w:rFonts w:ascii="Times New Roman" w:hAnsi="Times New Roman"/>
          <w:sz w:val="24"/>
          <w:szCs w:val="24"/>
          <w:lang w:val="sr-RS"/>
        </w:rPr>
        <w:t>. години није било иницијатива за измене и допуне прописа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15) Мере и провере предузете у циљу потпуности и ажурности података у информационом систему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color w:val="C9211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Уредно се врши евиденција предмета 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кроз референтску свеску </w:t>
      </w:r>
      <w:r>
        <w:rPr>
          <w:rFonts w:ascii="Times New Roman" w:hAnsi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/>
          <w:color w:val="auto"/>
          <w:sz w:val="24"/>
          <w:szCs w:val="24"/>
          <w:lang w:val="sr-RS"/>
        </w:rPr>
        <w:t xml:space="preserve">ажурирају се </w:t>
      </w:r>
      <w:r>
        <w:rPr>
          <w:rFonts w:ascii="Times New Roman" w:hAnsi="Times New Roman"/>
          <w:color w:val="auto"/>
          <w:sz w:val="24"/>
          <w:szCs w:val="24"/>
        </w:rPr>
        <w:t>пода</w:t>
      </w:r>
      <w:r>
        <w:rPr>
          <w:rFonts w:ascii="Times New Roman" w:hAnsi="Times New Roman"/>
          <w:color w:val="auto"/>
          <w:sz w:val="24"/>
          <w:szCs w:val="24"/>
          <w:lang w:val="sr-RS"/>
        </w:rPr>
        <w:t>ци на општинском сајту.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16) Стање у области извршавања поверених послова инспекцијског надзора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</w:p>
    <w:p>
      <w:pPr>
        <w:pStyle w:val="Default"/>
        <w:spacing w:lineRule="auto" w:line="276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ab/>
        <w:t>/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17)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2020.</w:t>
      </w:r>
      <w:r>
        <w:rPr>
          <w:rFonts w:ascii="Times New Roman" w:hAnsi="Times New Roman"/>
          <w:sz w:val="24"/>
          <w:szCs w:val="24"/>
          <w:lang w:val="sr-RS"/>
        </w:rPr>
        <w:t xml:space="preserve"> години</w:t>
      </w:r>
      <w:r>
        <w:rPr>
          <w:rFonts w:ascii="Times New Roman" w:hAnsi="Times New Roman"/>
          <w:sz w:val="24"/>
          <w:szCs w:val="24"/>
        </w:rPr>
        <w:t xml:space="preserve"> није било захтева за покретање ових поступака.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jc w:val="both"/>
        <w:rPr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                                 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RS"/>
        </w:rPr>
        <w:t xml:space="preserve">Шеф Одсека за урбанизам, грађевинарство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RS"/>
        </w:rPr>
        <w:t>и инспекцијске послове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RS"/>
        </w:rPr>
        <w:t>Јовица Богдановић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094" w:right="893" w:header="0" w:top="691" w:footer="0" w:bottom="28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3dc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6743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icevac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Application>LibreOffice/6.3.4.2$Windows_X86_64 LibreOffice_project/60da17e045e08f1793c57c00ba83cdfce946d0aa</Application>
  <Pages>3</Pages>
  <Words>886</Words>
  <Characters>5421</Characters>
  <CharactersWithSpaces>6733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2020-02-07T11:31:00Z</dcterms:created>
  <dc:creator>comp</dc:creator>
  <dc:description/>
  <dc:language>en-US</dc:language>
  <cp:lastModifiedBy/>
  <dcterms:modified xsi:type="dcterms:W3CDTF">2021-02-26T07:52:19Z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